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5" w:rsidRPr="00BB393C" w:rsidRDefault="00934AA7" w:rsidP="00934AA7">
      <w:pPr>
        <w:bidi/>
        <w:rPr>
          <w:rFonts w:ascii="Tahoma" w:hAnsi="Tahoma" w:cs="Tahoma"/>
          <w:b/>
          <w:bCs/>
          <w:sz w:val="20"/>
          <w:szCs w:val="20"/>
          <w:lang w:bidi="fa-IR"/>
        </w:rPr>
      </w:pPr>
      <w:r w:rsidRPr="00BB393C">
        <w:rPr>
          <w:rFonts w:ascii="Tahoma" w:hAnsi="Tahoma" w:cs="Tahoma"/>
          <w:b/>
          <w:bCs/>
          <w:sz w:val="20"/>
          <w:szCs w:val="20"/>
          <w:rtl/>
          <w:lang w:bidi="fa-IR"/>
        </w:rPr>
        <w:t>مگس سفید یا عسلک پنبه :</w:t>
      </w:r>
    </w:p>
    <w:p w:rsidR="00E92F53" w:rsidRPr="00BB393C" w:rsidRDefault="00E92F53" w:rsidP="004D6D05">
      <w:pPr>
        <w:bidi/>
        <w:jc w:val="both"/>
        <w:rPr>
          <w:rFonts w:ascii="Tahoma" w:hAnsi="Tahoma" w:cs="Tahoma"/>
          <w:b/>
          <w:bCs/>
          <w:sz w:val="20"/>
          <w:szCs w:val="20"/>
        </w:rPr>
      </w:pPr>
      <w:r w:rsidRPr="00BB393C">
        <w:rPr>
          <w:rFonts w:ascii="Tahoma" w:hAnsi="Tahoma" w:cs="Tahoma"/>
          <w:b/>
          <w:bCs/>
          <w:sz w:val="20"/>
          <w:szCs w:val="20"/>
          <w:rtl/>
        </w:rPr>
        <w:t xml:space="preserve">سفیدبالک‌ها از آفات مهم و </w:t>
      </w:r>
      <w:hyperlink r:id="rId4" w:tooltip="پلی‌فاژ (صفحه وجود ندارد)" w:history="1">
        <w:r w:rsidRPr="00B112ED">
          <w:rPr>
            <w:rStyle w:val="Hyperlink"/>
            <w:rFonts w:ascii="Tahoma" w:hAnsi="Tahoma" w:cs="Tahoma"/>
            <w:b/>
            <w:bCs/>
            <w:color w:val="auto"/>
            <w:sz w:val="20"/>
            <w:szCs w:val="20"/>
            <w:rtl/>
          </w:rPr>
          <w:t>پلی‌فاژ</w:t>
        </w:r>
      </w:hyperlink>
      <w:r w:rsidRPr="00BB393C">
        <w:rPr>
          <w:rFonts w:ascii="Tahoma" w:hAnsi="Tahoma" w:cs="Tahoma"/>
          <w:b/>
          <w:bCs/>
          <w:sz w:val="20"/>
          <w:szCs w:val="20"/>
        </w:rPr>
        <w:t xml:space="preserve"> </w:t>
      </w:r>
      <w:r w:rsidRPr="00BB393C">
        <w:rPr>
          <w:rFonts w:ascii="Tahoma" w:hAnsi="Tahoma" w:cs="Tahoma"/>
          <w:b/>
          <w:bCs/>
          <w:sz w:val="20"/>
          <w:szCs w:val="20"/>
          <w:rtl/>
        </w:rPr>
        <w:t>برای طیف وسیعی از محصولات کشاورزی مهم در بسیاری از نقاط جهان به ویژه در مناطق گرمسیری می‌باشد. سفیدبالک‌ها در مناطق گرمسیری و نیمه گرمسیری و به ویژه در شرایط گلخانه‌ای بر روی گیاهان زینتی و محصولات گلخانه‌ای در جمعیت‌های خیلی بالا دیده می‌شوند</w:t>
      </w:r>
      <w:r w:rsidRPr="00BB393C">
        <w:rPr>
          <w:rFonts w:ascii="Tahoma" w:hAnsi="Tahoma" w:cs="Tahoma"/>
          <w:b/>
          <w:bCs/>
          <w:sz w:val="20"/>
          <w:szCs w:val="20"/>
        </w:rPr>
        <w:t>.</w:t>
      </w:r>
    </w:p>
    <w:p w:rsidR="00E92F53" w:rsidRPr="00BB393C" w:rsidRDefault="004D6D05" w:rsidP="004D6D05">
      <w:pPr>
        <w:bidi/>
        <w:jc w:val="both"/>
        <w:rPr>
          <w:rFonts w:ascii="Tahoma" w:hAnsi="Tahoma" w:cs="Tahoma"/>
          <w:b/>
          <w:bCs/>
          <w:sz w:val="20"/>
          <w:szCs w:val="20"/>
        </w:rPr>
      </w:pPr>
      <w:r w:rsidRPr="00BB393C">
        <w:rPr>
          <w:rFonts w:ascii="Tahoma" w:hAnsi="Tahoma" w:cs="Tahoma"/>
          <w:b/>
          <w:bCs/>
          <w:sz w:val="20"/>
          <w:szCs w:val="20"/>
          <w:rtl/>
        </w:rPr>
        <w:t>اندازه سفیدبالک‌ها کوچک و سطح بدن و بال‌های آن‌ها به وسیله پودر سفید رنگی پوشیده شده‌است. در ظاهر این حشرات همانندی زیادی به یک پروانه کوچک دارند، اما در مقیاس کوچکتر، حشرات کامل این خانواده فعال بوده و می‌توانند آزادانه به اطراف پرواز کنند و عموماً در زیر برگ گیاهان و در حال تغذیه از شیره گیاهان مشاهده می‌شوند</w:t>
      </w:r>
      <w:r w:rsidRPr="00BB393C">
        <w:rPr>
          <w:rFonts w:ascii="Tahoma" w:hAnsi="Tahoma" w:cs="Tahoma"/>
          <w:b/>
          <w:bCs/>
          <w:sz w:val="20"/>
          <w:szCs w:val="20"/>
        </w:rPr>
        <w:t>.</w:t>
      </w:r>
    </w:p>
    <w:p w:rsidR="004D6D05" w:rsidRPr="00BB393C" w:rsidRDefault="004D6D05" w:rsidP="004D6D05">
      <w:pPr>
        <w:bidi/>
        <w:jc w:val="both"/>
        <w:rPr>
          <w:rFonts w:ascii="Tahoma" w:hAnsi="Tahoma" w:cs="Tahoma"/>
          <w:b/>
          <w:bCs/>
          <w:sz w:val="20"/>
          <w:szCs w:val="20"/>
        </w:rPr>
      </w:pPr>
      <w:r w:rsidRPr="00BB393C">
        <w:rPr>
          <w:rFonts w:ascii="Tahoma" w:hAnsi="Tahoma" w:cs="Tahoma"/>
          <w:b/>
          <w:bCs/>
          <w:sz w:val="20"/>
          <w:szCs w:val="20"/>
          <w:rtl/>
        </w:rPr>
        <w:t>پوره‌ها با حشرات کامل از شیره گیاهان تغذیه می‌کنند و همانند شته‌ها ناقل بیماری‌های ویروسی مختلف هستند.</w:t>
      </w:r>
    </w:p>
    <w:p w:rsidR="000E23A0" w:rsidRPr="00BB393C" w:rsidRDefault="000E23A0" w:rsidP="000E23A0">
      <w:pPr>
        <w:bidi/>
        <w:jc w:val="both"/>
        <w:rPr>
          <w:rFonts w:ascii="Tahoma" w:hAnsi="Tahoma" w:cs="Tahoma"/>
          <w:b/>
          <w:bCs/>
          <w:sz w:val="20"/>
          <w:szCs w:val="20"/>
        </w:rPr>
      </w:pPr>
      <w:r w:rsidRPr="00BB393C">
        <w:rPr>
          <w:rFonts w:ascii="Tahoma" w:hAnsi="Tahoma" w:cs="Tahoma"/>
          <w:b/>
          <w:bCs/>
          <w:sz w:val="20"/>
          <w:szCs w:val="20"/>
          <w:rtl/>
        </w:rPr>
        <w:t>زمستان را به صورت مراحل مختلف رشدي از تخم،‌ پوره تا حشره كامل مي گذراند. طول دوران رشد بستگي به درجه حرارت محيط دارد. طول يك نسل در حدود 15 روز طول مي كشد و ممكن است تا 15 نسل در سال داشته باشد . خسارت مستقيم آنها از طريق تغذيه از شيره گياهي و ضعف شديد بوته ها و همچنين آلوده كردن برگها و ساير اندامهاي گياهي با عسلك و رشد قارچ دوده و جلوگيري از عمل فتوسنتز مي باشد و خسارت غير مستقيم آن انتقال بيش از 19 بيماري ويروسي بر روي 50 گونه ميزبان است كه توسط حشره كامل صورت مي گيرد.</w:t>
      </w:r>
    </w:p>
    <w:p w:rsidR="0089707B" w:rsidRDefault="0089707B" w:rsidP="0089707B">
      <w:pPr>
        <w:bidi/>
        <w:jc w:val="both"/>
        <w:rPr>
          <w:rFonts w:ascii="Tahoma" w:hAnsi="Tahoma" w:cs="Tahoma"/>
          <w:lang w:bidi="fa-IR"/>
        </w:rPr>
      </w:pPr>
    </w:p>
    <w:p w:rsidR="003447A8" w:rsidRDefault="0089707B" w:rsidP="0089707B">
      <w:pPr>
        <w:bidi/>
        <w:jc w:val="both"/>
        <w:rPr>
          <w:rFonts w:ascii="Tahoma" w:hAnsi="Tahoma" w:cs="Tahoma"/>
          <w:lang w:bidi="fa-IR"/>
        </w:rPr>
      </w:pPr>
      <w:r>
        <w:rPr>
          <w:rFonts w:ascii="Tahoma" w:hAnsi="Tahoma" w:cs="Tahoma"/>
          <w:noProof/>
          <w:lang w:bidi="fa-IR"/>
        </w:rPr>
        <w:drawing>
          <wp:inline distT="0" distB="0" distL="0" distR="0">
            <wp:extent cx="2562225" cy="2619375"/>
            <wp:effectExtent l="19050" t="0" r="9525" b="0"/>
            <wp:docPr id="4"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2562225" cy="2619375"/>
                    </a:xfrm>
                    <a:prstGeom prst="rect">
                      <a:avLst/>
                    </a:prstGeom>
                  </pic:spPr>
                </pic:pic>
              </a:graphicData>
            </a:graphic>
          </wp:inline>
        </w:drawing>
      </w:r>
      <w:r>
        <w:rPr>
          <w:rFonts w:ascii="Tahoma" w:hAnsi="Tahoma" w:cs="Tahoma"/>
          <w:noProof/>
          <w:lang w:bidi="fa-IR"/>
        </w:rPr>
        <w:drawing>
          <wp:inline distT="0" distB="0" distL="0" distR="0">
            <wp:extent cx="3067050" cy="2619375"/>
            <wp:effectExtent l="19050" t="0" r="0" b="0"/>
            <wp:docPr id="5"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3067050" cy="2619375"/>
                    </a:xfrm>
                    <a:prstGeom prst="rect">
                      <a:avLst/>
                    </a:prstGeom>
                  </pic:spPr>
                </pic:pic>
              </a:graphicData>
            </a:graphic>
          </wp:inline>
        </w:drawing>
      </w:r>
    </w:p>
    <w:p w:rsidR="003447A8" w:rsidRPr="003447A8" w:rsidRDefault="003447A8" w:rsidP="003447A8">
      <w:pPr>
        <w:bidi/>
        <w:rPr>
          <w:rFonts w:ascii="Tahoma" w:hAnsi="Tahoma" w:cs="Tahoma"/>
          <w:lang w:bidi="fa-IR"/>
        </w:rPr>
      </w:pPr>
    </w:p>
    <w:p w:rsidR="003447A8" w:rsidRDefault="003447A8" w:rsidP="003447A8">
      <w:pPr>
        <w:bidi/>
        <w:rPr>
          <w:rFonts w:ascii="Tahoma" w:hAnsi="Tahoma" w:cs="Tahoma"/>
          <w:lang w:bidi="fa-IR"/>
        </w:rPr>
      </w:pPr>
    </w:p>
    <w:p w:rsidR="0089707B" w:rsidRDefault="003447A8" w:rsidP="003447A8">
      <w:pPr>
        <w:tabs>
          <w:tab w:val="left" w:pos="2775"/>
        </w:tabs>
        <w:bidi/>
        <w:rPr>
          <w:rFonts w:ascii="Tahoma" w:hAnsi="Tahoma" w:cs="Tahoma"/>
          <w:rtl/>
          <w:lang w:bidi="fa-IR"/>
        </w:rPr>
      </w:pPr>
      <w:r>
        <w:rPr>
          <w:rFonts w:ascii="Tahoma" w:hAnsi="Tahoma" w:cs="Tahoma"/>
          <w:rtl/>
          <w:lang w:bidi="fa-IR"/>
        </w:rPr>
        <w:tab/>
      </w:r>
    </w:p>
    <w:p w:rsidR="003447A8" w:rsidRDefault="003447A8" w:rsidP="003447A8">
      <w:pPr>
        <w:tabs>
          <w:tab w:val="left" w:pos="2775"/>
        </w:tabs>
        <w:bidi/>
        <w:rPr>
          <w:rFonts w:ascii="Tahoma" w:hAnsi="Tahoma" w:cs="Tahoma"/>
          <w:rtl/>
          <w:lang w:bidi="fa-IR"/>
        </w:rPr>
      </w:pPr>
    </w:p>
    <w:p w:rsidR="003447A8" w:rsidRDefault="003447A8" w:rsidP="003447A8">
      <w:pPr>
        <w:bidi/>
        <w:rPr>
          <w:rFonts w:ascii="Tahoma" w:hAnsi="Tahoma" w:cs="Tahoma"/>
          <w:b/>
          <w:bCs/>
          <w:sz w:val="32"/>
          <w:szCs w:val="32"/>
          <w:rtl/>
          <w:lang w:bidi="fa-IR"/>
        </w:rPr>
      </w:pPr>
      <w:r w:rsidRPr="00FA4B05">
        <w:rPr>
          <w:rFonts w:ascii="Tahoma" w:hAnsi="Tahoma" w:cs="Tahoma"/>
          <w:b/>
          <w:bCs/>
          <w:sz w:val="32"/>
          <w:szCs w:val="32"/>
          <w:rtl/>
          <w:lang w:bidi="fa-IR"/>
        </w:rPr>
        <w:lastRenderedPageBreak/>
        <w:t>کنترل آفت :</w:t>
      </w:r>
    </w:p>
    <w:p w:rsidR="003447A8" w:rsidRPr="00FA4B05" w:rsidRDefault="003447A8" w:rsidP="003447A8">
      <w:pPr>
        <w:bidi/>
        <w:spacing w:before="100" w:beforeAutospacing="1" w:after="100" w:afterAutospacing="1" w:line="240" w:lineRule="auto"/>
        <w:ind w:left="785"/>
        <w:jc w:val="both"/>
        <w:rPr>
          <w:rFonts w:ascii="Tahoma" w:eastAsia="Times New Roman" w:hAnsi="Tahoma" w:cs="Tahoma"/>
          <w:b/>
          <w:bCs/>
          <w:sz w:val="20"/>
          <w:szCs w:val="20"/>
          <w:rtl/>
        </w:rPr>
      </w:pPr>
      <w:r>
        <w:rPr>
          <w:rFonts w:ascii="Tahoma" w:eastAsia="Times New Roman" w:hAnsi="Tahoma" w:cs="Tahoma" w:hint="cs"/>
          <w:b/>
          <w:bCs/>
          <w:sz w:val="20"/>
          <w:szCs w:val="20"/>
          <w:rtl/>
        </w:rPr>
        <w:t>1</w:t>
      </w:r>
      <w:r w:rsidRPr="00FA4B05">
        <w:rPr>
          <w:rFonts w:ascii="Tahoma" w:eastAsia="Times New Roman" w:hAnsi="Tahoma" w:cs="Tahoma"/>
          <w:b/>
          <w:bCs/>
          <w:sz w:val="20"/>
          <w:szCs w:val="20"/>
          <w:rtl/>
        </w:rPr>
        <w:t>-    كنترل بيولوژيك</w:t>
      </w:r>
    </w:p>
    <w:p w:rsidR="003447A8" w:rsidRPr="00FA4B05" w:rsidRDefault="003447A8" w:rsidP="003447A8">
      <w:pPr>
        <w:bidi/>
        <w:spacing w:before="100" w:beforeAutospacing="1" w:after="100" w:afterAutospacing="1" w:line="240" w:lineRule="auto"/>
        <w:ind w:left="720"/>
        <w:jc w:val="both"/>
        <w:rPr>
          <w:rFonts w:ascii="Tahoma" w:eastAsia="Times New Roman" w:hAnsi="Tahoma" w:cs="Tahoma"/>
          <w:b/>
          <w:bCs/>
          <w:sz w:val="20"/>
          <w:szCs w:val="20"/>
          <w:rtl/>
        </w:rPr>
      </w:pPr>
      <w:r w:rsidRPr="00FA4B05">
        <w:rPr>
          <w:rFonts w:ascii="Tahoma" w:eastAsia="Times New Roman" w:hAnsi="Tahoma" w:cs="Tahoma"/>
          <w:b/>
          <w:bCs/>
          <w:sz w:val="20"/>
          <w:szCs w:val="20"/>
          <w:rtl/>
        </w:rPr>
        <w:t>الف- زنبور پارازتيوئيد: </w:t>
      </w:r>
    </w:p>
    <w:p w:rsidR="003447A8" w:rsidRPr="00FA4B05" w:rsidRDefault="003447A8" w:rsidP="003447A8">
      <w:pPr>
        <w:bidi/>
        <w:spacing w:before="100" w:beforeAutospacing="1" w:after="100" w:afterAutospacing="1" w:line="240" w:lineRule="auto"/>
        <w:ind w:left="720"/>
        <w:jc w:val="both"/>
        <w:rPr>
          <w:rFonts w:ascii="Tahoma" w:eastAsia="Times New Roman" w:hAnsi="Tahoma" w:cs="Tahoma"/>
          <w:b/>
          <w:bCs/>
          <w:sz w:val="20"/>
          <w:szCs w:val="20"/>
          <w:rtl/>
        </w:rPr>
      </w:pPr>
      <w:r w:rsidRPr="00FA4B05">
        <w:rPr>
          <w:rFonts w:ascii="Tahoma" w:eastAsia="Times New Roman" w:hAnsi="Tahoma" w:cs="Tahoma"/>
          <w:b/>
          <w:bCs/>
          <w:sz w:val="20"/>
          <w:szCs w:val="20"/>
          <w:rtl/>
        </w:rPr>
        <w:t>براي تشخيص فعاليت زنبور با بررسي شفيره هاي برگ ميزان فعاليت زنبور پارازتوئيد مشخص مي شود . اگر پوره ها شفاف نباشد زنبور در آن تخم ريزي و آنرا پارازيت كرده است .</w:t>
      </w:r>
    </w:p>
    <w:p w:rsidR="003447A8" w:rsidRPr="00FA4B05" w:rsidRDefault="003447A8" w:rsidP="003447A8">
      <w:pPr>
        <w:bidi/>
        <w:spacing w:before="100" w:beforeAutospacing="1" w:after="100" w:afterAutospacing="1" w:line="240" w:lineRule="auto"/>
        <w:jc w:val="both"/>
        <w:rPr>
          <w:rFonts w:ascii="Tahoma" w:eastAsia="Times New Roman" w:hAnsi="Tahoma" w:cs="Tahoma"/>
          <w:b/>
          <w:bCs/>
          <w:sz w:val="20"/>
          <w:szCs w:val="20"/>
          <w:rtl/>
        </w:rPr>
      </w:pPr>
      <w:r w:rsidRPr="00FA4B05">
        <w:rPr>
          <w:rFonts w:ascii="Tahoma" w:eastAsia="Times New Roman" w:hAnsi="Tahoma" w:cs="Tahoma"/>
          <w:b/>
          <w:bCs/>
          <w:sz w:val="20"/>
          <w:szCs w:val="20"/>
          <w:rtl/>
        </w:rPr>
        <w:t>          ب: شكارچي ها:</w:t>
      </w:r>
    </w:p>
    <w:p w:rsidR="003447A8" w:rsidRDefault="003447A8" w:rsidP="003447A8">
      <w:pPr>
        <w:bidi/>
        <w:spacing w:before="100" w:beforeAutospacing="1" w:after="100" w:afterAutospacing="1" w:line="240" w:lineRule="auto"/>
        <w:ind w:left="1080"/>
        <w:jc w:val="both"/>
        <w:rPr>
          <w:rFonts w:ascii="Tahoma" w:eastAsia="Times New Roman" w:hAnsi="Tahoma" w:cs="Tahoma"/>
          <w:b/>
          <w:bCs/>
          <w:sz w:val="20"/>
          <w:szCs w:val="20"/>
          <w:rtl/>
        </w:rPr>
      </w:pPr>
      <w:r>
        <w:rPr>
          <w:rFonts w:ascii="Tahoma" w:eastAsia="Times New Roman" w:hAnsi="Tahoma" w:cs="Tahoma" w:hint="cs"/>
          <w:b/>
          <w:bCs/>
          <w:sz w:val="20"/>
          <w:szCs w:val="20"/>
          <w:rtl/>
        </w:rPr>
        <w:t>ج</w:t>
      </w:r>
      <w:r w:rsidRPr="00FA4B05">
        <w:rPr>
          <w:rFonts w:ascii="Tahoma" w:eastAsia="Times New Roman" w:hAnsi="Tahoma" w:cs="Tahoma"/>
          <w:b/>
          <w:bCs/>
          <w:sz w:val="20"/>
          <w:szCs w:val="20"/>
          <w:rtl/>
        </w:rPr>
        <w:t>-     كارت زرد ( استفاده از كارت هاي زرد چسبنده و فرمون جهت شكار حشره كامل مگس سفيد)</w:t>
      </w:r>
    </w:p>
    <w:p w:rsidR="003447A8" w:rsidRPr="00FA4B05" w:rsidRDefault="003447A8" w:rsidP="003447A8">
      <w:pPr>
        <w:bidi/>
        <w:spacing w:before="100" w:beforeAutospacing="1" w:after="100" w:afterAutospacing="1" w:line="240" w:lineRule="auto"/>
        <w:ind w:left="1080"/>
        <w:jc w:val="both"/>
        <w:rPr>
          <w:rFonts w:ascii="Tahoma" w:eastAsia="Times New Roman" w:hAnsi="Tahoma" w:cs="Tahoma"/>
          <w:b/>
          <w:bCs/>
          <w:sz w:val="20"/>
          <w:szCs w:val="20"/>
          <w:rtl/>
        </w:rPr>
      </w:pPr>
    </w:p>
    <w:p w:rsidR="003447A8" w:rsidRPr="00FA4B05" w:rsidRDefault="003447A8" w:rsidP="003447A8">
      <w:pPr>
        <w:bidi/>
        <w:spacing w:before="100" w:beforeAutospacing="1" w:after="100" w:afterAutospacing="1" w:line="240" w:lineRule="auto"/>
        <w:ind w:left="785"/>
        <w:jc w:val="both"/>
        <w:rPr>
          <w:rFonts w:ascii="Tahoma" w:eastAsia="Times New Roman" w:hAnsi="Tahoma" w:cs="Tahoma"/>
          <w:b/>
          <w:bCs/>
          <w:sz w:val="20"/>
          <w:szCs w:val="20"/>
          <w:rtl/>
        </w:rPr>
      </w:pPr>
      <w:r w:rsidRPr="00FA4B05">
        <w:rPr>
          <w:rFonts w:ascii="Tahoma" w:eastAsia="Times New Roman" w:hAnsi="Tahoma" w:cs="Tahoma"/>
          <w:b/>
          <w:bCs/>
          <w:sz w:val="20"/>
          <w:szCs w:val="20"/>
          <w:rtl/>
        </w:rPr>
        <w:t>2-     كنترل زراعي</w:t>
      </w:r>
    </w:p>
    <w:p w:rsidR="003447A8" w:rsidRPr="00FA4B05" w:rsidRDefault="003447A8" w:rsidP="003447A8">
      <w:pPr>
        <w:bidi/>
        <w:spacing w:before="100" w:beforeAutospacing="1" w:after="100" w:afterAutospacing="1" w:line="240" w:lineRule="auto"/>
        <w:ind w:left="1440"/>
        <w:jc w:val="both"/>
        <w:rPr>
          <w:rFonts w:ascii="Tahoma" w:eastAsia="Times New Roman" w:hAnsi="Tahoma" w:cs="Tahoma"/>
          <w:b/>
          <w:bCs/>
          <w:sz w:val="20"/>
          <w:szCs w:val="20"/>
          <w:rtl/>
        </w:rPr>
      </w:pPr>
      <w:r w:rsidRPr="00FA4B05">
        <w:rPr>
          <w:rFonts w:ascii="Tahoma" w:eastAsia="Times New Roman" w:hAnsi="Tahoma" w:cs="Tahoma"/>
          <w:b/>
          <w:bCs/>
          <w:sz w:val="20"/>
          <w:szCs w:val="20"/>
          <w:rtl/>
        </w:rPr>
        <w:t>·     از بين بردن بقاياي و سوزانيدن آنها بلافاصله بعد از برداشت محصول.</w:t>
      </w:r>
    </w:p>
    <w:p w:rsidR="003447A8" w:rsidRPr="00FA4B05" w:rsidRDefault="003447A8" w:rsidP="003447A8">
      <w:pPr>
        <w:bidi/>
        <w:spacing w:before="100" w:beforeAutospacing="1" w:after="100" w:afterAutospacing="1" w:line="240" w:lineRule="auto"/>
        <w:ind w:left="1440"/>
        <w:jc w:val="both"/>
        <w:rPr>
          <w:rFonts w:ascii="Tahoma" w:eastAsia="Times New Roman" w:hAnsi="Tahoma" w:cs="Tahoma"/>
          <w:b/>
          <w:bCs/>
          <w:sz w:val="20"/>
          <w:szCs w:val="20"/>
          <w:rtl/>
        </w:rPr>
      </w:pPr>
      <w:r w:rsidRPr="00FA4B05">
        <w:rPr>
          <w:rFonts w:ascii="Tahoma" w:eastAsia="Times New Roman" w:hAnsi="Tahoma" w:cs="Tahoma"/>
          <w:b/>
          <w:bCs/>
          <w:sz w:val="20"/>
          <w:szCs w:val="20"/>
          <w:rtl/>
        </w:rPr>
        <w:t>·     دور كاشتن زراعت پنبه از جاليز يا آفتابگردان و رعايت فاصله كافي.</w:t>
      </w:r>
    </w:p>
    <w:p w:rsidR="003447A8" w:rsidRPr="00FA4B05" w:rsidRDefault="003447A8" w:rsidP="003447A8">
      <w:pPr>
        <w:bidi/>
        <w:spacing w:before="100" w:beforeAutospacing="1" w:after="100" w:afterAutospacing="1" w:line="240" w:lineRule="auto"/>
        <w:ind w:left="1440"/>
        <w:jc w:val="both"/>
        <w:rPr>
          <w:rFonts w:ascii="Tahoma" w:eastAsia="Times New Roman" w:hAnsi="Tahoma" w:cs="Tahoma"/>
          <w:b/>
          <w:bCs/>
          <w:sz w:val="20"/>
          <w:szCs w:val="20"/>
          <w:rtl/>
        </w:rPr>
      </w:pPr>
      <w:r w:rsidRPr="00FA4B05">
        <w:rPr>
          <w:rFonts w:ascii="Tahoma" w:eastAsia="Times New Roman" w:hAnsi="Tahoma" w:cs="Tahoma"/>
          <w:b/>
          <w:bCs/>
          <w:sz w:val="20"/>
          <w:szCs w:val="20"/>
          <w:rtl/>
        </w:rPr>
        <w:t>·     در صورت امكان در اواخر فصل كاشت كود اوره به زمين ندهيم.</w:t>
      </w:r>
    </w:p>
    <w:p w:rsidR="003447A8" w:rsidRPr="00FA4B05" w:rsidRDefault="003447A8" w:rsidP="003447A8">
      <w:pPr>
        <w:bidi/>
        <w:spacing w:before="100" w:beforeAutospacing="1" w:after="100" w:afterAutospacing="1" w:line="240" w:lineRule="auto"/>
        <w:ind w:left="1440"/>
        <w:jc w:val="both"/>
        <w:rPr>
          <w:rFonts w:ascii="Tahoma" w:eastAsia="Times New Roman" w:hAnsi="Tahoma" w:cs="Tahoma"/>
          <w:b/>
          <w:bCs/>
          <w:sz w:val="20"/>
          <w:szCs w:val="20"/>
          <w:rtl/>
        </w:rPr>
      </w:pPr>
      <w:r w:rsidRPr="00FA4B05">
        <w:rPr>
          <w:rFonts w:ascii="Tahoma" w:eastAsia="Times New Roman" w:hAnsi="Tahoma" w:cs="Tahoma"/>
          <w:b/>
          <w:bCs/>
          <w:sz w:val="20"/>
          <w:szCs w:val="20"/>
          <w:rtl/>
        </w:rPr>
        <w:t>·     كشت خطي و رعايت تراكم</w:t>
      </w:r>
    </w:p>
    <w:p w:rsidR="003447A8" w:rsidRPr="00FA4B05" w:rsidRDefault="003447A8" w:rsidP="003447A8">
      <w:pPr>
        <w:bidi/>
        <w:spacing w:before="100" w:beforeAutospacing="1" w:after="100" w:afterAutospacing="1" w:line="240" w:lineRule="auto"/>
        <w:ind w:left="1440"/>
        <w:jc w:val="both"/>
        <w:rPr>
          <w:rFonts w:ascii="Tahoma" w:eastAsia="Times New Roman" w:hAnsi="Tahoma" w:cs="Tahoma"/>
          <w:b/>
          <w:bCs/>
          <w:sz w:val="20"/>
          <w:szCs w:val="20"/>
          <w:rtl/>
        </w:rPr>
      </w:pPr>
      <w:r w:rsidRPr="00FA4B05">
        <w:rPr>
          <w:rFonts w:ascii="Tahoma" w:eastAsia="Times New Roman" w:hAnsi="Tahoma" w:cs="Tahoma"/>
          <w:b/>
          <w:bCs/>
          <w:sz w:val="20"/>
          <w:szCs w:val="20"/>
          <w:rtl/>
        </w:rPr>
        <w:t>·     تراكم مناسب</w:t>
      </w:r>
    </w:p>
    <w:p w:rsidR="003447A8" w:rsidRPr="00FA4B05" w:rsidRDefault="003447A8" w:rsidP="003447A8">
      <w:pPr>
        <w:bidi/>
        <w:spacing w:before="100" w:beforeAutospacing="1" w:after="100" w:afterAutospacing="1" w:line="240" w:lineRule="auto"/>
        <w:ind w:left="1440"/>
        <w:jc w:val="both"/>
        <w:rPr>
          <w:rFonts w:ascii="Tahoma" w:eastAsia="Times New Roman" w:hAnsi="Tahoma" w:cs="Tahoma"/>
          <w:b/>
          <w:bCs/>
          <w:sz w:val="20"/>
          <w:szCs w:val="20"/>
          <w:rtl/>
        </w:rPr>
      </w:pPr>
      <w:r w:rsidRPr="00FA4B05">
        <w:rPr>
          <w:rFonts w:ascii="Tahoma" w:eastAsia="Times New Roman" w:hAnsi="Tahoma" w:cs="Tahoma"/>
          <w:b/>
          <w:bCs/>
          <w:sz w:val="20"/>
          <w:szCs w:val="20"/>
          <w:rtl/>
        </w:rPr>
        <w:t>·     كشت ارقام مقاوم</w:t>
      </w:r>
    </w:p>
    <w:p w:rsidR="003447A8" w:rsidRDefault="003447A8" w:rsidP="003447A8">
      <w:pPr>
        <w:bidi/>
        <w:spacing w:before="100" w:beforeAutospacing="1" w:after="100" w:afterAutospacing="1" w:line="240" w:lineRule="auto"/>
        <w:ind w:left="1440"/>
        <w:jc w:val="both"/>
        <w:rPr>
          <w:rFonts w:ascii="Tahoma" w:eastAsia="Times New Roman" w:hAnsi="Tahoma" w:cs="Tahoma"/>
          <w:b/>
          <w:bCs/>
          <w:sz w:val="20"/>
          <w:szCs w:val="20"/>
          <w:rtl/>
        </w:rPr>
      </w:pPr>
      <w:r w:rsidRPr="00FA4B05">
        <w:rPr>
          <w:rFonts w:ascii="Tahoma" w:eastAsia="Times New Roman" w:hAnsi="Tahoma" w:cs="Tahoma"/>
          <w:b/>
          <w:bCs/>
          <w:sz w:val="20"/>
          <w:szCs w:val="20"/>
          <w:rtl/>
        </w:rPr>
        <w:t>·     از بين بردن علفهاي هرز.</w:t>
      </w:r>
    </w:p>
    <w:p w:rsidR="003447A8" w:rsidRPr="00FA4B05" w:rsidRDefault="003447A8" w:rsidP="003447A8">
      <w:pPr>
        <w:bidi/>
        <w:spacing w:before="100" w:beforeAutospacing="1" w:after="100" w:afterAutospacing="1" w:line="240" w:lineRule="auto"/>
        <w:ind w:left="1440"/>
        <w:jc w:val="both"/>
        <w:rPr>
          <w:rFonts w:ascii="Tahoma" w:eastAsia="Times New Roman" w:hAnsi="Tahoma" w:cs="Tahoma"/>
          <w:b/>
          <w:bCs/>
          <w:sz w:val="20"/>
          <w:szCs w:val="20"/>
          <w:rtl/>
        </w:rPr>
      </w:pPr>
    </w:p>
    <w:p w:rsidR="003447A8" w:rsidRPr="00FA4B05" w:rsidRDefault="003447A8" w:rsidP="003447A8">
      <w:pPr>
        <w:bidi/>
        <w:spacing w:before="100" w:beforeAutospacing="1" w:after="100" w:afterAutospacing="1" w:line="240" w:lineRule="auto"/>
        <w:ind w:left="785"/>
        <w:jc w:val="both"/>
        <w:rPr>
          <w:rFonts w:ascii="Tahoma" w:eastAsia="Times New Roman" w:hAnsi="Tahoma" w:cs="Tahoma"/>
          <w:b/>
          <w:bCs/>
          <w:sz w:val="20"/>
          <w:szCs w:val="20"/>
          <w:rtl/>
        </w:rPr>
      </w:pPr>
      <w:r w:rsidRPr="00FA4B05">
        <w:rPr>
          <w:rFonts w:ascii="Tahoma" w:eastAsia="Times New Roman" w:hAnsi="Tahoma" w:cs="Tahoma"/>
          <w:b/>
          <w:bCs/>
          <w:sz w:val="20"/>
          <w:szCs w:val="20"/>
          <w:rtl/>
        </w:rPr>
        <w:t>3-    كنترل شيميايي ( نرم سمپاشي وجود 6 تا 8 حشره كامل و 20 پوره پشت هر برگ )</w:t>
      </w:r>
    </w:p>
    <w:p w:rsidR="003447A8" w:rsidRPr="00FA4B05" w:rsidRDefault="003447A8" w:rsidP="003447A8">
      <w:pPr>
        <w:bidi/>
        <w:spacing w:before="100" w:beforeAutospacing="1" w:after="100" w:afterAutospacing="1" w:line="240" w:lineRule="auto"/>
        <w:ind w:left="1229"/>
        <w:jc w:val="both"/>
        <w:rPr>
          <w:rFonts w:ascii="Tahoma" w:eastAsia="Times New Roman" w:hAnsi="Tahoma" w:cs="Tahoma"/>
          <w:b/>
          <w:bCs/>
          <w:sz w:val="20"/>
          <w:szCs w:val="20"/>
          <w:rtl/>
        </w:rPr>
      </w:pPr>
      <w:r w:rsidRPr="00FA4B05">
        <w:rPr>
          <w:rFonts w:ascii="Tahoma" w:eastAsia="Times New Roman" w:hAnsi="Tahoma" w:cs="Tahoma"/>
          <w:b/>
          <w:bCs/>
          <w:sz w:val="20"/>
          <w:szCs w:val="20"/>
          <w:rtl/>
        </w:rPr>
        <w:t>-     (آدميرال)  پيري پروکسي فن</w:t>
      </w:r>
      <w:r w:rsidRPr="00FA4B05">
        <w:rPr>
          <w:rFonts w:ascii="Tahoma" w:eastAsia="Times New Roman" w:hAnsi="Tahoma" w:cs="Tahoma"/>
          <w:b/>
          <w:bCs/>
          <w:sz w:val="20"/>
          <w:szCs w:val="20"/>
        </w:rPr>
        <w:t>EC</w:t>
      </w:r>
      <w:r w:rsidRPr="00FA4B05">
        <w:rPr>
          <w:rFonts w:ascii="Tahoma" w:eastAsia="Times New Roman" w:hAnsi="Tahoma" w:cs="Tahoma"/>
          <w:b/>
          <w:bCs/>
          <w:sz w:val="20"/>
          <w:szCs w:val="20"/>
          <w:rtl/>
        </w:rPr>
        <w:t>10% و 1 ليتر  جهت جلوگيري از رشد و تكامل پوره ها</w:t>
      </w:r>
    </w:p>
    <w:p w:rsidR="003447A8" w:rsidRPr="00FA4B05" w:rsidRDefault="003447A8" w:rsidP="003447A8">
      <w:pPr>
        <w:bidi/>
        <w:spacing w:before="100" w:beforeAutospacing="1" w:after="100" w:afterAutospacing="1" w:line="240" w:lineRule="auto"/>
        <w:ind w:left="1229"/>
        <w:jc w:val="both"/>
        <w:rPr>
          <w:rFonts w:ascii="Tahoma" w:eastAsia="Times New Roman" w:hAnsi="Tahoma" w:cs="Tahoma"/>
          <w:b/>
          <w:bCs/>
          <w:sz w:val="20"/>
          <w:szCs w:val="20"/>
          <w:rtl/>
        </w:rPr>
      </w:pPr>
      <w:r w:rsidRPr="00FA4B05">
        <w:rPr>
          <w:rFonts w:ascii="Tahoma" w:eastAsia="Times New Roman" w:hAnsi="Tahoma" w:cs="Tahoma"/>
          <w:b/>
          <w:bCs/>
          <w:sz w:val="20"/>
          <w:szCs w:val="20"/>
          <w:rtl/>
        </w:rPr>
        <w:t>-     آميتراز (مايتاوک)</w:t>
      </w:r>
      <w:r w:rsidRPr="00FA4B05">
        <w:rPr>
          <w:rFonts w:ascii="Tahoma" w:eastAsia="Times New Roman" w:hAnsi="Tahoma" w:cs="Tahoma"/>
          <w:b/>
          <w:bCs/>
          <w:sz w:val="20"/>
          <w:szCs w:val="20"/>
        </w:rPr>
        <w:t xml:space="preserve">EC </w:t>
      </w:r>
      <w:r w:rsidRPr="00FA4B05">
        <w:rPr>
          <w:rFonts w:ascii="Tahoma" w:eastAsia="Times New Roman" w:hAnsi="Tahoma" w:cs="Tahoma"/>
          <w:b/>
          <w:bCs/>
          <w:sz w:val="20"/>
          <w:szCs w:val="20"/>
          <w:rtl/>
        </w:rPr>
        <w:t>20% و 3 ليتر</w:t>
      </w:r>
    </w:p>
    <w:p w:rsidR="003447A8" w:rsidRPr="00FA4B05" w:rsidRDefault="003447A8" w:rsidP="003447A8">
      <w:pPr>
        <w:bidi/>
        <w:spacing w:before="100" w:beforeAutospacing="1" w:after="100" w:afterAutospacing="1" w:line="240" w:lineRule="auto"/>
        <w:ind w:left="1229"/>
        <w:jc w:val="both"/>
        <w:rPr>
          <w:rFonts w:ascii="Tahoma" w:eastAsia="Times New Roman" w:hAnsi="Tahoma" w:cs="Tahoma"/>
          <w:b/>
          <w:bCs/>
          <w:sz w:val="20"/>
          <w:szCs w:val="20"/>
          <w:rtl/>
        </w:rPr>
      </w:pPr>
      <w:r w:rsidRPr="00FA4B05">
        <w:rPr>
          <w:rFonts w:ascii="Tahoma" w:eastAsia="Times New Roman" w:hAnsi="Tahoma" w:cs="Tahoma"/>
          <w:b/>
          <w:bCs/>
          <w:sz w:val="20"/>
          <w:szCs w:val="20"/>
          <w:rtl/>
        </w:rPr>
        <w:t xml:space="preserve">-     پيريميفوس متيل(اکتليک) </w:t>
      </w:r>
      <w:r w:rsidRPr="00FA4B05">
        <w:rPr>
          <w:rFonts w:ascii="Tahoma" w:eastAsia="Times New Roman" w:hAnsi="Tahoma" w:cs="Tahoma"/>
          <w:b/>
          <w:bCs/>
          <w:sz w:val="20"/>
          <w:szCs w:val="20"/>
        </w:rPr>
        <w:t>EC</w:t>
      </w:r>
      <w:r w:rsidRPr="00FA4B05">
        <w:rPr>
          <w:rFonts w:ascii="Tahoma" w:eastAsia="Times New Roman" w:hAnsi="Tahoma" w:cs="Tahoma"/>
          <w:b/>
          <w:bCs/>
          <w:sz w:val="20"/>
          <w:szCs w:val="20"/>
          <w:rtl/>
        </w:rPr>
        <w:t>50% و 1.5 ليتر</w:t>
      </w:r>
    </w:p>
    <w:p w:rsidR="003447A8" w:rsidRPr="00FA4B05" w:rsidRDefault="003447A8" w:rsidP="003447A8">
      <w:pPr>
        <w:bidi/>
        <w:rPr>
          <w:rFonts w:ascii="Tahoma" w:hAnsi="Tahoma" w:cs="Tahoma"/>
          <w:b/>
          <w:bCs/>
          <w:sz w:val="32"/>
          <w:szCs w:val="32"/>
          <w:rtl/>
          <w:lang w:bidi="fa-IR"/>
        </w:rPr>
      </w:pPr>
    </w:p>
    <w:p w:rsidR="003447A8" w:rsidRPr="003447A8" w:rsidRDefault="003447A8" w:rsidP="003447A8">
      <w:pPr>
        <w:tabs>
          <w:tab w:val="left" w:pos="2775"/>
        </w:tabs>
        <w:bidi/>
        <w:rPr>
          <w:rFonts w:ascii="Tahoma" w:hAnsi="Tahoma" w:cs="Tahoma"/>
          <w:lang w:bidi="fa-IR"/>
        </w:rPr>
      </w:pPr>
    </w:p>
    <w:sectPr w:rsidR="003447A8" w:rsidRPr="003447A8" w:rsidSect="00105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AA7"/>
    <w:rsid w:val="000023EB"/>
    <w:rsid w:val="000E23A0"/>
    <w:rsid w:val="00105BA5"/>
    <w:rsid w:val="00242CC8"/>
    <w:rsid w:val="003447A8"/>
    <w:rsid w:val="0035701B"/>
    <w:rsid w:val="004D6D05"/>
    <w:rsid w:val="0089707B"/>
    <w:rsid w:val="008C77CB"/>
    <w:rsid w:val="00934AA7"/>
    <w:rsid w:val="00AF1CA3"/>
    <w:rsid w:val="00B112ED"/>
    <w:rsid w:val="00BB393C"/>
    <w:rsid w:val="00E11D95"/>
    <w:rsid w:val="00E92F5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F53"/>
    <w:rPr>
      <w:color w:val="0000FF"/>
      <w:u w:val="single"/>
    </w:rPr>
  </w:style>
  <w:style w:type="paragraph" w:styleId="NormalWeb">
    <w:name w:val="Normal (Web)"/>
    <w:basedOn w:val="Normal"/>
    <w:uiPriority w:val="99"/>
    <w:semiHidden/>
    <w:unhideWhenUsed/>
    <w:rsid w:val="004D6D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fa.wikipedia.org/w/index.php?title=%D9%BE%D9%84%DB%8C%E2%80%8C%D9%81%D8%A7%DA%98&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h.shafiee</dc:creator>
  <cp:keywords/>
  <dc:description/>
  <cp:lastModifiedBy>h.shafiee</cp:lastModifiedBy>
  <cp:revision>13</cp:revision>
  <dcterms:created xsi:type="dcterms:W3CDTF">2016-10-22T10:29:00Z</dcterms:created>
  <dcterms:modified xsi:type="dcterms:W3CDTF">2017-08-17T05:34:00Z</dcterms:modified>
</cp:coreProperties>
</file>